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F9918" w14:textId="77777777" w:rsidR="00AF0ED1" w:rsidRDefault="0000000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山东财经大学东方学院</w:t>
      </w:r>
    </w:p>
    <w:p w14:paraId="4C60FF8A" w14:textId="77777777" w:rsidR="00AF0ED1" w:rsidRDefault="0000000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数据科学学院</w:t>
      </w:r>
    </w:p>
    <w:p w14:paraId="40383876" w14:textId="77777777" w:rsidR="00AF0ED1" w:rsidRDefault="0000000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全日制本专科学生转专业工作实施方案</w:t>
      </w:r>
    </w:p>
    <w:p w14:paraId="47DACCDA" w14:textId="77777777" w:rsidR="00AF0ED1" w:rsidRDefault="00AF0ED1">
      <w:pPr>
        <w:spacing w:line="560" w:lineRule="exact"/>
        <w:ind w:firstLineChars="200" w:firstLine="632"/>
        <w:rPr>
          <w:rFonts w:hAnsi="仿宋_GB2312" w:cs="仿宋_GB2312"/>
          <w:szCs w:val="32"/>
        </w:rPr>
      </w:pPr>
    </w:p>
    <w:p w14:paraId="2FF193B3"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根据《山东财经大学东方学院普通本专科学生转专业管理办法（试行）》（鲁财大东方教字[2023]30号），为确保2023 级本专科学生转专业工作公平、公开、公正、有序进行，结合学院实际，制订学院转专业工作实施细则。</w:t>
      </w:r>
    </w:p>
    <w:p w14:paraId="61BBFEF6"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学院转专业工作在学校宏观调控下，自主实施，遵循公平、公正、公开以及双向自愿选择、择优录取的原则。学院转专业工作以对学生负责、有利学生成长为基本指导思想。</w:t>
      </w:r>
    </w:p>
    <w:p w14:paraId="04310168" w14:textId="77777777" w:rsidR="00AF0ED1" w:rsidRDefault="00000000">
      <w:pPr>
        <w:spacing w:line="560" w:lineRule="exact"/>
        <w:ind w:firstLineChars="200" w:firstLine="632"/>
        <w:rPr>
          <w:rFonts w:ascii="黑体" w:eastAsia="黑体" w:hAnsi="黑体"/>
          <w:color w:val="C00000"/>
          <w:szCs w:val="32"/>
        </w:rPr>
      </w:pPr>
      <w:r>
        <w:rPr>
          <w:rFonts w:ascii="黑体" w:eastAsia="黑体" w:hAnsi="黑体" w:cs="黑体" w:hint="eastAsia"/>
          <w:bCs/>
          <w:szCs w:val="32"/>
        </w:rPr>
        <w:t>第一条 领导小组</w:t>
      </w:r>
    </w:p>
    <w:p w14:paraId="670FA4AE"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学院设立转专业工作小组，由书记、院长任组长，副院长任副组长，各专业负责人、教学秘书、相应年级辅导员为主要成员。工作组成员如下：</w:t>
      </w:r>
    </w:p>
    <w:p w14:paraId="5E2DA65D"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组长：安</w:t>
      </w:r>
      <w:proofErr w:type="gramStart"/>
      <w:r>
        <w:rPr>
          <w:rFonts w:hAnsi="仿宋_GB2312" w:cs="仿宋_GB2312" w:hint="eastAsia"/>
          <w:szCs w:val="32"/>
        </w:rPr>
        <w:t>世</w:t>
      </w:r>
      <w:proofErr w:type="gramEnd"/>
      <w:r>
        <w:rPr>
          <w:rFonts w:hAnsi="仿宋_GB2312" w:cs="仿宋_GB2312" w:hint="eastAsia"/>
          <w:szCs w:val="32"/>
        </w:rPr>
        <w:t>虎</w:t>
      </w:r>
    </w:p>
    <w:p w14:paraId="185420FE"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副组长：谢蕙、</w:t>
      </w:r>
      <w:proofErr w:type="gramStart"/>
      <w:r>
        <w:rPr>
          <w:rFonts w:hAnsi="仿宋_GB2312" w:cs="仿宋_GB2312" w:hint="eastAsia"/>
          <w:szCs w:val="32"/>
        </w:rPr>
        <w:t>隋丽红</w:t>
      </w:r>
      <w:proofErr w:type="gramEnd"/>
    </w:p>
    <w:p w14:paraId="6E8276A1"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成员：周恩锋、孙青、谭峤、张然</w:t>
      </w:r>
    </w:p>
    <w:p w14:paraId="1E0DEDD6"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秘书：吴晓雪、赵静</w:t>
      </w:r>
    </w:p>
    <w:p w14:paraId="1769DB39" w14:textId="77777777" w:rsidR="00AF0ED1" w:rsidRDefault="00000000">
      <w:pPr>
        <w:spacing w:line="560" w:lineRule="exact"/>
        <w:ind w:firstLineChars="200" w:firstLine="632"/>
        <w:rPr>
          <w:rFonts w:ascii="黑体" w:eastAsia="黑体" w:hAnsi="黑体"/>
          <w:color w:val="C00000"/>
          <w:szCs w:val="32"/>
        </w:rPr>
      </w:pPr>
      <w:r>
        <w:rPr>
          <w:rFonts w:ascii="黑体" w:eastAsia="黑体" w:hAnsi="黑体" w:cs="黑体" w:hint="eastAsia"/>
          <w:bCs/>
          <w:szCs w:val="32"/>
        </w:rPr>
        <w:t>第二条 接收专业与接收</w:t>
      </w:r>
      <w:r>
        <w:rPr>
          <w:rFonts w:ascii="黑体" w:eastAsia="黑体" w:hAnsi="黑体" w:cs="黑体"/>
          <w:bCs/>
          <w:szCs w:val="32"/>
        </w:rPr>
        <w:t>计划</w:t>
      </w:r>
    </w:p>
    <w:p w14:paraId="530BE130"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根据数据科学学院各专业现有学生人数、师资力量及学校相关规定，学院2023级各专业可以接收的转专业学生人数如下表所</w:t>
      </w:r>
      <w:r>
        <w:rPr>
          <w:rFonts w:hAnsi="仿宋_GB2312" w:cs="仿宋_GB2312" w:hint="eastAsia"/>
          <w:szCs w:val="32"/>
        </w:rPr>
        <w:lastRenderedPageBreak/>
        <w:t>示：</w:t>
      </w:r>
    </w:p>
    <w:tbl>
      <w:tblPr>
        <w:tblStyle w:val="ab"/>
        <w:tblW w:w="0" w:type="auto"/>
        <w:jc w:val="center"/>
        <w:tblLook w:val="04A0" w:firstRow="1" w:lastRow="0" w:firstColumn="1" w:lastColumn="0" w:noHBand="0" w:noVBand="1"/>
      </w:tblPr>
      <w:tblGrid>
        <w:gridCol w:w="906"/>
        <w:gridCol w:w="1056"/>
        <w:gridCol w:w="3474"/>
        <w:gridCol w:w="2581"/>
      </w:tblGrid>
      <w:tr w:rsidR="00AF0ED1" w14:paraId="519135AF" w14:textId="77777777">
        <w:trPr>
          <w:jc w:val="center"/>
        </w:trPr>
        <w:tc>
          <w:tcPr>
            <w:tcW w:w="906" w:type="dxa"/>
            <w:vAlign w:val="center"/>
          </w:tcPr>
          <w:p w14:paraId="09CAD338" w14:textId="77777777" w:rsidR="00AF0ED1" w:rsidRDefault="00000000">
            <w:pPr>
              <w:spacing w:line="560" w:lineRule="exact"/>
              <w:jc w:val="center"/>
              <w:rPr>
                <w:rFonts w:hAnsi="仿宋_GB2312" w:cs="仿宋_GB2312"/>
                <w:sz w:val="28"/>
                <w:szCs w:val="32"/>
              </w:rPr>
            </w:pPr>
            <w:r>
              <w:rPr>
                <w:rFonts w:hAnsi="仿宋_GB2312" w:cs="仿宋_GB2312" w:hint="eastAsia"/>
                <w:sz w:val="28"/>
                <w:szCs w:val="32"/>
              </w:rPr>
              <w:t>序号</w:t>
            </w:r>
          </w:p>
        </w:tc>
        <w:tc>
          <w:tcPr>
            <w:tcW w:w="1056" w:type="dxa"/>
            <w:vAlign w:val="center"/>
          </w:tcPr>
          <w:p w14:paraId="4515CA95" w14:textId="77777777" w:rsidR="00AF0ED1" w:rsidRDefault="00000000">
            <w:pPr>
              <w:spacing w:line="560" w:lineRule="exact"/>
              <w:jc w:val="center"/>
              <w:rPr>
                <w:rFonts w:hAnsi="仿宋_GB2312" w:cs="仿宋_GB2312"/>
                <w:sz w:val="28"/>
                <w:szCs w:val="32"/>
              </w:rPr>
            </w:pPr>
            <w:r>
              <w:rPr>
                <w:rFonts w:hAnsi="仿宋_GB2312" w:cs="仿宋_GB2312"/>
                <w:sz w:val="28"/>
                <w:szCs w:val="32"/>
              </w:rPr>
              <w:t>层次</w:t>
            </w:r>
          </w:p>
        </w:tc>
        <w:tc>
          <w:tcPr>
            <w:tcW w:w="3474" w:type="dxa"/>
            <w:vAlign w:val="center"/>
          </w:tcPr>
          <w:p w14:paraId="70099BA7" w14:textId="77777777" w:rsidR="00AF0ED1" w:rsidRDefault="00000000">
            <w:pPr>
              <w:spacing w:line="560" w:lineRule="exact"/>
              <w:jc w:val="center"/>
              <w:rPr>
                <w:rFonts w:hAnsi="仿宋_GB2312" w:cs="仿宋_GB2312"/>
                <w:sz w:val="28"/>
                <w:szCs w:val="32"/>
              </w:rPr>
            </w:pPr>
            <w:r>
              <w:rPr>
                <w:rFonts w:hAnsi="仿宋_GB2312" w:cs="仿宋_GB2312"/>
                <w:sz w:val="28"/>
                <w:szCs w:val="32"/>
              </w:rPr>
              <w:t>专业名称</w:t>
            </w:r>
          </w:p>
        </w:tc>
        <w:tc>
          <w:tcPr>
            <w:tcW w:w="2581" w:type="dxa"/>
            <w:vAlign w:val="center"/>
          </w:tcPr>
          <w:p w14:paraId="3BA55A97" w14:textId="77777777" w:rsidR="00AF0ED1" w:rsidRDefault="00000000">
            <w:pPr>
              <w:spacing w:line="560" w:lineRule="exact"/>
              <w:jc w:val="center"/>
              <w:rPr>
                <w:rFonts w:hAnsi="仿宋_GB2312" w:cs="仿宋_GB2312"/>
                <w:sz w:val="28"/>
                <w:szCs w:val="32"/>
              </w:rPr>
            </w:pPr>
            <w:proofErr w:type="gramStart"/>
            <w:r>
              <w:rPr>
                <w:rFonts w:hAnsi="仿宋_GB2312" w:cs="仿宋_GB2312"/>
                <w:sz w:val="28"/>
                <w:szCs w:val="32"/>
              </w:rPr>
              <w:t>拟接受</w:t>
            </w:r>
            <w:proofErr w:type="gramEnd"/>
            <w:r>
              <w:rPr>
                <w:rFonts w:hAnsi="仿宋_GB2312" w:cs="仿宋_GB2312"/>
                <w:sz w:val="28"/>
                <w:szCs w:val="32"/>
              </w:rPr>
              <w:t>学生人数</w:t>
            </w:r>
          </w:p>
        </w:tc>
      </w:tr>
      <w:tr w:rsidR="00AF0ED1" w14:paraId="00806A92" w14:textId="77777777">
        <w:trPr>
          <w:jc w:val="center"/>
        </w:trPr>
        <w:tc>
          <w:tcPr>
            <w:tcW w:w="906" w:type="dxa"/>
            <w:vAlign w:val="center"/>
          </w:tcPr>
          <w:p w14:paraId="4AC56AD1" w14:textId="77777777" w:rsidR="00AF0ED1" w:rsidRDefault="00000000">
            <w:pPr>
              <w:spacing w:line="560" w:lineRule="exact"/>
              <w:jc w:val="center"/>
              <w:rPr>
                <w:rFonts w:hAnsi="仿宋_GB2312" w:cs="仿宋_GB2312"/>
                <w:sz w:val="28"/>
                <w:szCs w:val="32"/>
              </w:rPr>
            </w:pPr>
            <w:r>
              <w:rPr>
                <w:rFonts w:hAnsi="仿宋_GB2312" w:cs="仿宋_GB2312" w:hint="eastAsia"/>
                <w:sz w:val="28"/>
                <w:szCs w:val="32"/>
              </w:rPr>
              <w:t>1</w:t>
            </w:r>
          </w:p>
        </w:tc>
        <w:tc>
          <w:tcPr>
            <w:tcW w:w="1056" w:type="dxa"/>
            <w:vMerge w:val="restart"/>
            <w:vAlign w:val="center"/>
          </w:tcPr>
          <w:p w14:paraId="129FB184" w14:textId="77777777" w:rsidR="00AF0ED1" w:rsidRDefault="00000000">
            <w:pPr>
              <w:spacing w:line="560" w:lineRule="exact"/>
              <w:jc w:val="center"/>
              <w:rPr>
                <w:rFonts w:hAnsi="仿宋_GB2312" w:cs="仿宋_GB2312"/>
                <w:sz w:val="28"/>
                <w:szCs w:val="32"/>
              </w:rPr>
            </w:pPr>
            <w:r>
              <w:rPr>
                <w:rFonts w:hAnsi="仿宋_GB2312" w:cs="仿宋_GB2312"/>
                <w:sz w:val="28"/>
                <w:szCs w:val="32"/>
              </w:rPr>
              <w:t>本科</w:t>
            </w:r>
          </w:p>
        </w:tc>
        <w:tc>
          <w:tcPr>
            <w:tcW w:w="3474" w:type="dxa"/>
            <w:vAlign w:val="center"/>
          </w:tcPr>
          <w:p w14:paraId="1369C369" w14:textId="77777777" w:rsidR="00AF0ED1" w:rsidRDefault="00000000">
            <w:pPr>
              <w:spacing w:line="560" w:lineRule="exact"/>
              <w:jc w:val="center"/>
              <w:rPr>
                <w:rFonts w:hAnsi="仿宋_GB2312" w:cs="仿宋_GB2312"/>
                <w:sz w:val="28"/>
                <w:szCs w:val="32"/>
              </w:rPr>
            </w:pPr>
            <w:r>
              <w:rPr>
                <w:rFonts w:hAnsi="仿宋_GB2312" w:cs="仿宋_GB2312"/>
                <w:sz w:val="28"/>
                <w:szCs w:val="32"/>
              </w:rPr>
              <w:t>电子商务</w:t>
            </w:r>
          </w:p>
        </w:tc>
        <w:tc>
          <w:tcPr>
            <w:tcW w:w="2581" w:type="dxa"/>
            <w:vAlign w:val="center"/>
          </w:tcPr>
          <w:p w14:paraId="5B7A5E4C" w14:textId="77777777" w:rsidR="00AF0ED1" w:rsidRDefault="00000000">
            <w:pPr>
              <w:spacing w:line="560" w:lineRule="exact"/>
              <w:jc w:val="center"/>
              <w:rPr>
                <w:rFonts w:hAnsi="仿宋_GB2312" w:cs="仿宋_GB2312"/>
                <w:sz w:val="28"/>
                <w:szCs w:val="32"/>
              </w:rPr>
            </w:pPr>
            <w:r>
              <w:rPr>
                <w:rFonts w:hAnsi="仿宋_GB2312" w:cs="仿宋_GB2312" w:hint="eastAsia"/>
                <w:sz w:val="28"/>
                <w:szCs w:val="32"/>
              </w:rPr>
              <w:t>4</w:t>
            </w:r>
          </w:p>
        </w:tc>
      </w:tr>
      <w:tr w:rsidR="00AF0ED1" w14:paraId="2E7297DB" w14:textId="77777777">
        <w:trPr>
          <w:jc w:val="center"/>
        </w:trPr>
        <w:tc>
          <w:tcPr>
            <w:tcW w:w="906" w:type="dxa"/>
            <w:vAlign w:val="center"/>
          </w:tcPr>
          <w:p w14:paraId="59851829" w14:textId="77777777" w:rsidR="00AF0ED1" w:rsidRDefault="00000000">
            <w:pPr>
              <w:spacing w:line="560" w:lineRule="exact"/>
              <w:jc w:val="center"/>
              <w:rPr>
                <w:rFonts w:hAnsi="仿宋_GB2312" w:cs="仿宋_GB2312"/>
                <w:sz w:val="28"/>
                <w:szCs w:val="32"/>
              </w:rPr>
            </w:pPr>
            <w:r>
              <w:rPr>
                <w:rFonts w:hAnsi="仿宋_GB2312" w:cs="仿宋_GB2312" w:hint="eastAsia"/>
                <w:sz w:val="28"/>
                <w:szCs w:val="32"/>
              </w:rPr>
              <w:t>2</w:t>
            </w:r>
          </w:p>
        </w:tc>
        <w:tc>
          <w:tcPr>
            <w:tcW w:w="1056" w:type="dxa"/>
            <w:vMerge/>
            <w:vAlign w:val="center"/>
          </w:tcPr>
          <w:p w14:paraId="61FCD4C7" w14:textId="77777777" w:rsidR="00AF0ED1" w:rsidRDefault="00AF0ED1">
            <w:pPr>
              <w:spacing w:line="560" w:lineRule="exact"/>
              <w:jc w:val="center"/>
              <w:rPr>
                <w:rFonts w:hAnsi="仿宋_GB2312" w:cs="仿宋_GB2312"/>
                <w:sz w:val="28"/>
                <w:szCs w:val="32"/>
              </w:rPr>
            </w:pPr>
          </w:p>
        </w:tc>
        <w:tc>
          <w:tcPr>
            <w:tcW w:w="3474" w:type="dxa"/>
            <w:vAlign w:val="center"/>
          </w:tcPr>
          <w:p w14:paraId="3B7BD393" w14:textId="77777777" w:rsidR="00AF0ED1" w:rsidRDefault="00000000">
            <w:pPr>
              <w:spacing w:line="560" w:lineRule="exact"/>
              <w:jc w:val="center"/>
              <w:rPr>
                <w:rFonts w:hAnsi="仿宋_GB2312" w:cs="仿宋_GB2312"/>
                <w:sz w:val="28"/>
                <w:szCs w:val="32"/>
              </w:rPr>
            </w:pPr>
            <w:r>
              <w:rPr>
                <w:rFonts w:hAnsi="仿宋_GB2312" w:cs="仿宋_GB2312"/>
                <w:sz w:val="28"/>
                <w:szCs w:val="32"/>
              </w:rPr>
              <w:t>数据科学与大数据技术</w:t>
            </w:r>
          </w:p>
        </w:tc>
        <w:tc>
          <w:tcPr>
            <w:tcW w:w="2581" w:type="dxa"/>
            <w:vAlign w:val="center"/>
          </w:tcPr>
          <w:p w14:paraId="18707CDB" w14:textId="77777777" w:rsidR="00AF0ED1" w:rsidRDefault="00000000">
            <w:pPr>
              <w:spacing w:line="560" w:lineRule="exact"/>
              <w:jc w:val="center"/>
              <w:rPr>
                <w:rFonts w:hAnsi="仿宋_GB2312" w:cs="仿宋_GB2312"/>
                <w:sz w:val="28"/>
                <w:szCs w:val="32"/>
              </w:rPr>
            </w:pPr>
            <w:r>
              <w:rPr>
                <w:rFonts w:hAnsi="仿宋_GB2312" w:cs="仿宋_GB2312" w:hint="eastAsia"/>
                <w:sz w:val="28"/>
                <w:szCs w:val="32"/>
              </w:rPr>
              <w:t>5</w:t>
            </w:r>
          </w:p>
        </w:tc>
      </w:tr>
      <w:tr w:rsidR="00AF0ED1" w14:paraId="19697EB2" w14:textId="77777777">
        <w:trPr>
          <w:jc w:val="center"/>
        </w:trPr>
        <w:tc>
          <w:tcPr>
            <w:tcW w:w="906" w:type="dxa"/>
            <w:vAlign w:val="center"/>
          </w:tcPr>
          <w:p w14:paraId="7D386C2B" w14:textId="77777777" w:rsidR="00AF0ED1" w:rsidRDefault="00000000">
            <w:pPr>
              <w:spacing w:line="560" w:lineRule="exact"/>
              <w:jc w:val="center"/>
              <w:rPr>
                <w:rFonts w:hAnsi="仿宋_GB2312" w:cs="仿宋_GB2312"/>
                <w:sz w:val="28"/>
                <w:szCs w:val="32"/>
              </w:rPr>
            </w:pPr>
            <w:r>
              <w:rPr>
                <w:rFonts w:hAnsi="仿宋_GB2312" w:cs="仿宋_GB2312" w:hint="eastAsia"/>
                <w:sz w:val="28"/>
                <w:szCs w:val="32"/>
              </w:rPr>
              <w:t>3</w:t>
            </w:r>
          </w:p>
        </w:tc>
        <w:tc>
          <w:tcPr>
            <w:tcW w:w="1056" w:type="dxa"/>
            <w:vAlign w:val="center"/>
          </w:tcPr>
          <w:p w14:paraId="789AB5FD" w14:textId="77777777" w:rsidR="00AF0ED1" w:rsidRDefault="00000000">
            <w:pPr>
              <w:spacing w:line="560" w:lineRule="exact"/>
              <w:jc w:val="center"/>
              <w:rPr>
                <w:rFonts w:hAnsi="仿宋_GB2312" w:cs="仿宋_GB2312"/>
                <w:sz w:val="28"/>
                <w:szCs w:val="32"/>
              </w:rPr>
            </w:pPr>
            <w:r>
              <w:rPr>
                <w:rFonts w:hAnsi="仿宋_GB2312" w:cs="仿宋_GB2312"/>
                <w:sz w:val="28"/>
                <w:szCs w:val="32"/>
              </w:rPr>
              <w:t>专科</w:t>
            </w:r>
          </w:p>
        </w:tc>
        <w:tc>
          <w:tcPr>
            <w:tcW w:w="3474" w:type="dxa"/>
            <w:vAlign w:val="center"/>
          </w:tcPr>
          <w:p w14:paraId="62449B3A" w14:textId="77777777" w:rsidR="00AF0ED1" w:rsidRDefault="00000000">
            <w:pPr>
              <w:spacing w:line="560" w:lineRule="exact"/>
              <w:jc w:val="center"/>
              <w:rPr>
                <w:rFonts w:hAnsi="仿宋_GB2312" w:cs="仿宋_GB2312"/>
                <w:sz w:val="28"/>
                <w:szCs w:val="32"/>
              </w:rPr>
            </w:pPr>
            <w:r>
              <w:rPr>
                <w:rFonts w:hAnsi="仿宋_GB2312" w:cs="仿宋_GB2312"/>
                <w:sz w:val="28"/>
                <w:szCs w:val="32"/>
              </w:rPr>
              <w:t>大数据技术</w:t>
            </w:r>
          </w:p>
        </w:tc>
        <w:tc>
          <w:tcPr>
            <w:tcW w:w="2581" w:type="dxa"/>
            <w:vAlign w:val="center"/>
          </w:tcPr>
          <w:p w14:paraId="7D03E4B2" w14:textId="77777777" w:rsidR="00AF0ED1" w:rsidRDefault="00000000">
            <w:pPr>
              <w:spacing w:line="560" w:lineRule="exact"/>
              <w:jc w:val="center"/>
              <w:rPr>
                <w:rFonts w:hAnsi="仿宋_GB2312" w:cs="仿宋_GB2312"/>
                <w:sz w:val="28"/>
                <w:szCs w:val="32"/>
              </w:rPr>
            </w:pPr>
            <w:r>
              <w:rPr>
                <w:rFonts w:hAnsi="仿宋_GB2312" w:cs="仿宋_GB2312" w:hint="eastAsia"/>
                <w:sz w:val="28"/>
                <w:szCs w:val="32"/>
              </w:rPr>
              <w:t>20</w:t>
            </w:r>
          </w:p>
        </w:tc>
      </w:tr>
    </w:tbl>
    <w:p w14:paraId="7F2E3A38" w14:textId="77777777" w:rsidR="00AF0ED1" w:rsidRDefault="00000000">
      <w:pPr>
        <w:spacing w:line="560" w:lineRule="exact"/>
        <w:ind w:firstLineChars="200" w:firstLine="632"/>
        <w:rPr>
          <w:rFonts w:ascii="黑体" w:eastAsia="黑体" w:hAnsi="黑体"/>
          <w:color w:val="C00000"/>
          <w:szCs w:val="32"/>
        </w:rPr>
      </w:pPr>
      <w:r>
        <w:rPr>
          <w:rFonts w:ascii="黑体" w:eastAsia="黑体" w:hAnsi="黑体" w:cs="黑体" w:hint="eastAsia"/>
          <w:bCs/>
          <w:szCs w:val="32"/>
        </w:rPr>
        <w:t>第三条 资格条件</w:t>
      </w:r>
    </w:p>
    <w:p w14:paraId="2B7C6218"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申请转专业的学生应符合以下条件：</w:t>
      </w:r>
    </w:p>
    <w:p w14:paraId="5DCBEDFC"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1.申请转专业的学生须符合《山东财经大学东方学院普通本专科学生转专业管理办法（试行）》（鲁财大东方教字〔2023〕30 号）第二章规定的资格条件。</w:t>
      </w:r>
    </w:p>
    <w:p w14:paraId="7375D062"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2.数据科学与大数据技术本科专业只接收高考时选考了物理的转专业学生。</w:t>
      </w:r>
    </w:p>
    <w:p w14:paraId="09C838C4" w14:textId="77777777" w:rsidR="00AF0ED1" w:rsidRDefault="00000000">
      <w:pPr>
        <w:spacing w:line="560" w:lineRule="exact"/>
        <w:ind w:firstLineChars="200" w:firstLine="632"/>
        <w:rPr>
          <w:rFonts w:ascii="黑体" w:eastAsia="黑体" w:hAnsi="黑体" w:cs="黑体"/>
          <w:bCs/>
          <w:szCs w:val="32"/>
        </w:rPr>
      </w:pPr>
      <w:r>
        <w:rPr>
          <w:rFonts w:ascii="黑体" w:eastAsia="黑体" w:hAnsi="黑体" w:cs="黑体" w:hint="eastAsia"/>
          <w:bCs/>
          <w:szCs w:val="32"/>
        </w:rPr>
        <w:t>第四条 转</w:t>
      </w:r>
      <w:r>
        <w:rPr>
          <w:rFonts w:ascii="黑体" w:eastAsia="黑体" w:hAnsi="黑体" w:cs="黑体"/>
          <w:bCs/>
          <w:szCs w:val="32"/>
        </w:rPr>
        <w:t>专业流程</w:t>
      </w:r>
    </w:p>
    <w:p w14:paraId="61365FBD" w14:textId="77777777" w:rsidR="00AF0ED1" w:rsidRDefault="00000000">
      <w:pPr>
        <w:spacing w:line="560" w:lineRule="exact"/>
        <w:ind w:firstLineChars="200" w:firstLine="632"/>
        <w:rPr>
          <w:rFonts w:ascii="楷体_GB2312" w:eastAsia="楷体_GB2312" w:hAnsi="楷体_GB2312" w:cs="楷体_GB2312"/>
          <w:szCs w:val="32"/>
        </w:rPr>
      </w:pPr>
      <w:r>
        <w:rPr>
          <w:rFonts w:ascii="楷体_GB2312" w:eastAsia="楷体_GB2312" w:hAnsi="楷体_GB2312" w:cs="楷体_GB2312" w:hint="eastAsia"/>
          <w:szCs w:val="32"/>
        </w:rPr>
        <w:t>（一）学生报名流程</w:t>
      </w:r>
    </w:p>
    <w:p w14:paraId="7E03B9C3"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符合转专业资格条件的学生于2024 年4 月3 日至4月8日登录学校教务管理系统进行网上报名，填报志愿，并系统提交相关电子材料及纸质材料</w:t>
      </w:r>
      <w:proofErr w:type="gramStart"/>
      <w:r>
        <w:rPr>
          <w:rFonts w:hAnsi="仿宋_GB2312" w:cs="仿宋_GB2312" w:hint="eastAsia"/>
          <w:szCs w:val="32"/>
        </w:rPr>
        <w:t>交学生</w:t>
      </w:r>
      <w:proofErr w:type="gramEnd"/>
      <w:r>
        <w:rPr>
          <w:rFonts w:hAnsi="仿宋_GB2312" w:cs="仿宋_GB2312" w:hint="eastAsia"/>
          <w:szCs w:val="32"/>
        </w:rPr>
        <w:t>所在学院审批。具体材料包括：“山东财经大学东方学院转专业申请表”、“第一学期所有课程期末考试成绩单”（教务处盖章有效）、拟转入数据科学与大数据技术本科专业的学生还需提供纸质版“高考电子档案”（所在学院盖章有效）。</w:t>
      </w:r>
    </w:p>
    <w:p w14:paraId="6FFA6174"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所在学院审核完毕后，于2024年4月13日至4月15日对</w:t>
      </w:r>
      <w:r>
        <w:rPr>
          <w:rFonts w:hAnsi="仿宋_GB2312" w:cs="仿宋_GB2312" w:hint="eastAsia"/>
          <w:szCs w:val="32"/>
        </w:rPr>
        <w:lastRenderedPageBreak/>
        <w:t>批准转出学生名单进行公示，公示无异议后将名单及材料报教务处，并在教务管理系统中对学生申请进行审核。</w:t>
      </w:r>
    </w:p>
    <w:p w14:paraId="73798378"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学生可通过教务系统查询审批状态，同时及时关注我院网站选拔通知安排，申请转入我院的学生请提前在学院网站了解拟转入专业的人才培养方案。</w:t>
      </w:r>
    </w:p>
    <w:p w14:paraId="17B574D4" w14:textId="77777777" w:rsidR="00AF0ED1" w:rsidRDefault="00000000">
      <w:pPr>
        <w:spacing w:line="560" w:lineRule="exact"/>
        <w:ind w:firstLineChars="200" w:firstLine="632"/>
        <w:rPr>
          <w:rFonts w:ascii="楷体_GB2312" w:eastAsia="楷体_GB2312" w:hAnsi="楷体_GB2312" w:cs="楷体_GB2312"/>
          <w:szCs w:val="32"/>
        </w:rPr>
      </w:pPr>
      <w:r>
        <w:rPr>
          <w:rFonts w:ascii="楷体_GB2312" w:eastAsia="楷体_GB2312" w:hAnsi="楷体_GB2312" w:cs="楷体_GB2312" w:hint="eastAsia"/>
          <w:szCs w:val="32"/>
        </w:rPr>
        <w:t>（二）选拔原则与标准</w:t>
      </w:r>
    </w:p>
    <w:p w14:paraId="274FA197"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学院转专业工作组负责组织选拔工作，按照“志愿优先，成绩排序”原则进行选拔。</w:t>
      </w:r>
    </w:p>
    <w:p w14:paraId="34F6D6A7"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根据学生转专业报名基本情况、第一学期所有课程期末考试成绩及面试情况，确定拟录取名单。若被录取的学生有自愿放弃转专业的，则按转专业成绩排序由高到低依次递补，录满名额为止。</w:t>
      </w:r>
    </w:p>
    <w:p w14:paraId="7C95925E" w14:textId="77777777" w:rsidR="00AF0ED1" w:rsidRDefault="00000000">
      <w:pPr>
        <w:spacing w:line="560" w:lineRule="exact"/>
        <w:ind w:firstLineChars="200" w:firstLine="632"/>
        <w:rPr>
          <w:rFonts w:ascii="楷体_GB2312" w:eastAsia="楷体_GB2312"/>
          <w:szCs w:val="32"/>
        </w:rPr>
      </w:pPr>
      <w:r>
        <w:rPr>
          <w:rFonts w:ascii="楷体_GB2312" w:eastAsia="楷体_GB2312" w:hAnsi="楷体_GB2312" w:cs="楷体_GB2312" w:hint="eastAsia"/>
          <w:szCs w:val="32"/>
        </w:rPr>
        <w:t>（三）考核时间、形式、地点</w:t>
      </w:r>
    </w:p>
    <w:p w14:paraId="111D07DA"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学院选拔时间为2024年4月16日至4月19日，面试时间、地点及要求将另行通知，请随时关注学院公示墙。</w:t>
      </w:r>
    </w:p>
    <w:p w14:paraId="21C2F8A9"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学院转专业工作组负责对申请转专业的学生资格进行审查，并对符合申请资格的学生进行面试选拔，面试总成绩 100 分，包括思想品质、学业规划、专业认识、专业潜力、语言沟通、综合素质等方面。</w:t>
      </w:r>
    </w:p>
    <w:p w14:paraId="4FCA234A"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最终转专业成绩由第一学期所有课程期末考试平均成绩和面试成绩组成。其中，第一学期所有课程平均成绩占50%、面试成绩占50%。</w:t>
      </w:r>
    </w:p>
    <w:p w14:paraId="18B8BB0E" w14:textId="77777777" w:rsidR="00AF0ED1" w:rsidRDefault="00000000">
      <w:pPr>
        <w:spacing w:line="560" w:lineRule="exact"/>
        <w:ind w:firstLineChars="200" w:firstLine="632"/>
        <w:rPr>
          <w:rFonts w:ascii="楷体_GB2312" w:eastAsia="楷体_GB2312" w:hAnsi="楷体_GB2312" w:cs="楷体_GB2312"/>
          <w:szCs w:val="32"/>
        </w:rPr>
      </w:pPr>
      <w:r>
        <w:rPr>
          <w:rFonts w:ascii="楷体_GB2312" w:eastAsia="楷体_GB2312" w:hAnsi="楷体_GB2312" w:cs="楷体_GB2312" w:hint="eastAsia"/>
          <w:szCs w:val="32"/>
        </w:rPr>
        <w:lastRenderedPageBreak/>
        <w:t>（四）确定名单</w:t>
      </w:r>
    </w:p>
    <w:p w14:paraId="01ECD484" w14:textId="4EACCE63" w:rsidR="00AF0ED1" w:rsidRDefault="00000000">
      <w:pPr>
        <w:spacing w:line="560" w:lineRule="exact"/>
        <w:ind w:firstLineChars="200" w:firstLine="632"/>
        <w:rPr>
          <w:rFonts w:hAnsi="仿宋_GB2312" w:cs="仿宋_GB2312"/>
          <w:szCs w:val="32"/>
        </w:rPr>
      </w:pPr>
      <w:r>
        <w:rPr>
          <w:rFonts w:hAnsi="仿宋_GB2312" w:cs="仿宋_GB2312" w:hint="eastAsia"/>
          <w:szCs w:val="32"/>
        </w:rPr>
        <w:t>学院在确定考核结果和各专业拟接收学生名单后，于2024 年4月20日至4月22日在学院公示墙进行公示，公示无异议后将名单及材料上报教务处审核，经学校审批后，办理转专业学籍异动，</w:t>
      </w:r>
      <w:r w:rsidR="002D6F3B">
        <w:rPr>
          <w:rFonts w:hAnsi="仿宋_GB2312" w:cs="仿宋_GB2312" w:hint="eastAsia"/>
          <w:szCs w:val="32"/>
        </w:rPr>
        <w:t>于下学期初</w:t>
      </w:r>
      <w:r>
        <w:rPr>
          <w:rFonts w:hAnsi="仿宋_GB2312" w:cs="仿宋_GB2312" w:hint="eastAsia"/>
          <w:szCs w:val="32"/>
        </w:rPr>
        <w:t>编入相应班级就读。</w:t>
      </w:r>
    </w:p>
    <w:p w14:paraId="75A189EA" w14:textId="77777777" w:rsidR="00AF0ED1" w:rsidRDefault="00000000">
      <w:pPr>
        <w:spacing w:line="560" w:lineRule="exact"/>
        <w:ind w:firstLineChars="200" w:firstLine="632"/>
        <w:rPr>
          <w:rFonts w:ascii="黑体" w:eastAsia="黑体" w:hAnsi="黑体" w:cs="黑体"/>
          <w:bCs/>
          <w:szCs w:val="32"/>
        </w:rPr>
      </w:pPr>
      <w:r>
        <w:rPr>
          <w:rFonts w:ascii="黑体" w:eastAsia="黑体" w:hAnsi="黑体" w:cs="黑体" w:hint="eastAsia"/>
          <w:bCs/>
          <w:szCs w:val="32"/>
        </w:rPr>
        <w:t>第五条 其他</w:t>
      </w:r>
    </w:p>
    <w:p w14:paraId="5134DE87"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本方案由数据科学学院转专业工作组办公室负责解释。未尽事宜，遵照《山东财经大学东方学院普通本专科学生转专业管理办法（试行）》（鲁财大东方教字〔2023〕30号）及相关文件办理。</w:t>
      </w:r>
    </w:p>
    <w:p w14:paraId="7449D002"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工作小组办公室：求真楼308</w:t>
      </w:r>
    </w:p>
    <w:p w14:paraId="4EBDDD4E"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联系方式：0538-5397837</w:t>
      </w:r>
    </w:p>
    <w:p w14:paraId="64DFC77C"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联系人：吴老师、赵老师</w:t>
      </w:r>
    </w:p>
    <w:p w14:paraId="77F4CB31" w14:textId="77777777" w:rsidR="00AF0ED1" w:rsidRDefault="00AF0ED1">
      <w:pPr>
        <w:spacing w:line="560" w:lineRule="exact"/>
        <w:ind w:firstLineChars="200" w:firstLine="632"/>
        <w:rPr>
          <w:rFonts w:hAnsi="仿宋_GB2312" w:cs="仿宋_GB2312"/>
          <w:szCs w:val="32"/>
        </w:rPr>
      </w:pPr>
    </w:p>
    <w:p w14:paraId="05240D44" w14:textId="77777777" w:rsidR="00AF0ED1" w:rsidRDefault="00000000">
      <w:pPr>
        <w:spacing w:line="560" w:lineRule="exact"/>
        <w:ind w:firstLineChars="200" w:firstLine="632"/>
        <w:rPr>
          <w:rFonts w:hAnsi="仿宋_GB2312" w:cs="仿宋_GB2312"/>
          <w:szCs w:val="32"/>
        </w:rPr>
      </w:pPr>
      <w:r>
        <w:rPr>
          <w:rFonts w:hAnsi="仿宋_GB2312" w:cs="仿宋_GB2312" w:hint="eastAsia"/>
          <w:szCs w:val="32"/>
        </w:rPr>
        <w:t xml:space="preserve"> </w:t>
      </w:r>
      <w:r>
        <w:rPr>
          <w:rFonts w:hAnsi="仿宋_GB2312" w:cs="仿宋_GB2312"/>
          <w:szCs w:val="32"/>
        </w:rPr>
        <w:t xml:space="preserve">                                 </w:t>
      </w:r>
      <w:r>
        <w:rPr>
          <w:rFonts w:hAnsi="仿宋_GB2312" w:cs="仿宋_GB2312" w:hint="eastAsia"/>
          <w:szCs w:val="32"/>
        </w:rPr>
        <w:t>数据科学学院</w:t>
      </w:r>
    </w:p>
    <w:p w14:paraId="531DA3EC" w14:textId="77777777" w:rsidR="00AF0ED1" w:rsidRDefault="00000000">
      <w:pPr>
        <w:spacing w:line="560" w:lineRule="exact"/>
        <w:ind w:firstLineChars="1800" w:firstLine="5685"/>
        <w:rPr>
          <w:rFonts w:hAnsi="仿宋_GB2312" w:cs="仿宋_GB2312"/>
          <w:szCs w:val="32"/>
        </w:rPr>
      </w:pPr>
      <w:r>
        <w:rPr>
          <w:rFonts w:hAnsi="仿宋_GB2312" w:cs="仿宋_GB2312" w:hint="eastAsia"/>
          <w:szCs w:val="32"/>
        </w:rPr>
        <w:t>2</w:t>
      </w:r>
      <w:r>
        <w:rPr>
          <w:rFonts w:hAnsi="仿宋_GB2312" w:cs="仿宋_GB2312"/>
          <w:szCs w:val="32"/>
        </w:rPr>
        <w:t>02</w:t>
      </w:r>
      <w:r>
        <w:rPr>
          <w:rFonts w:hAnsi="仿宋_GB2312" w:cs="仿宋_GB2312" w:hint="eastAsia"/>
          <w:szCs w:val="32"/>
        </w:rPr>
        <w:t>4年3月27日</w:t>
      </w:r>
    </w:p>
    <w:p w14:paraId="332673BF" w14:textId="77777777" w:rsidR="00AF0ED1" w:rsidRDefault="00AF0ED1">
      <w:pPr>
        <w:spacing w:line="560" w:lineRule="exact"/>
        <w:ind w:firstLineChars="200" w:firstLine="632"/>
        <w:rPr>
          <w:rFonts w:hAnsi="仿宋_GB2312" w:cs="仿宋_GB2312"/>
          <w:szCs w:val="32"/>
        </w:rPr>
      </w:pPr>
    </w:p>
    <w:sectPr w:rsidR="00AF0ED1">
      <w:footerReference w:type="even" r:id="rId7"/>
      <w:footerReference w:type="default" r:id="rId8"/>
      <w:pgSz w:w="11906" w:h="16838"/>
      <w:pgMar w:top="2098" w:right="1474" w:bottom="1984" w:left="1588" w:header="851" w:footer="1587" w:gutter="0"/>
      <w:cols w:space="720"/>
      <w:docGrid w:type="linesAndChars" w:linePitch="584"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82138" w14:textId="77777777" w:rsidR="00954B75" w:rsidRDefault="00954B75">
      <w:r>
        <w:separator/>
      </w:r>
    </w:p>
  </w:endnote>
  <w:endnote w:type="continuationSeparator" w:id="0">
    <w:p w14:paraId="053FE018" w14:textId="77777777" w:rsidR="00954B75" w:rsidRDefault="00954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1FBA7" w14:textId="77777777" w:rsidR="00AF0ED1" w:rsidRDefault="00000000">
    <w:pPr>
      <w:pStyle w:val="a7"/>
      <w:framePr w:wrap="around" w:vAnchor="text" w:hAnchor="margin" w:xAlign="outside" w:y="1"/>
      <w:rPr>
        <w:rStyle w:val="ac"/>
      </w:rPr>
    </w:pPr>
    <w:r>
      <w:fldChar w:fldCharType="begin"/>
    </w:r>
    <w:r>
      <w:rPr>
        <w:rStyle w:val="ac"/>
      </w:rPr>
      <w:instrText xml:space="preserve">PAGE  </w:instrText>
    </w:r>
    <w:r>
      <w:fldChar w:fldCharType="end"/>
    </w:r>
  </w:p>
  <w:p w14:paraId="01800A91" w14:textId="77777777" w:rsidR="00AF0ED1" w:rsidRDefault="00AF0ED1">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A6729" w14:textId="77777777" w:rsidR="00AF0ED1" w:rsidRDefault="00AF0ED1">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C5D90" w14:textId="77777777" w:rsidR="00954B75" w:rsidRDefault="00954B75">
      <w:r>
        <w:separator/>
      </w:r>
    </w:p>
  </w:footnote>
  <w:footnote w:type="continuationSeparator" w:id="0">
    <w:p w14:paraId="24C7275F" w14:textId="77777777" w:rsidR="00954B75" w:rsidRDefault="00954B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420"/>
  <w:drawingGridHorizontalSpacing w:val="158"/>
  <w:drawingGridVerticalSpacing w:val="292"/>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WVmNWUyY2FhZTAyZjU0NmYxYWZmNWRmNWRkZGZhZWUifQ=="/>
  </w:docVars>
  <w:rsids>
    <w:rsidRoot w:val="6015680A"/>
    <w:rsid w:val="00006790"/>
    <w:rsid w:val="000257E8"/>
    <w:rsid w:val="00033F3C"/>
    <w:rsid w:val="00044C8C"/>
    <w:rsid w:val="00044EC9"/>
    <w:rsid w:val="00051151"/>
    <w:rsid w:val="000543B1"/>
    <w:rsid w:val="00063A28"/>
    <w:rsid w:val="000C7C80"/>
    <w:rsid w:val="000F1EFB"/>
    <w:rsid w:val="00114D75"/>
    <w:rsid w:val="00122A50"/>
    <w:rsid w:val="00147E63"/>
    <w:rsid w:val="00154A67"/>
    <w:rsid w:val="0019149F"/>
    <w:rsid w:val="001C38FB"/>
    <w:rsid w:val="001C5FF9"/>
    <w:rsid w:val="00212AA4"/>
    <w:rsid w:val="00220B2E"/>
    <w:rsid w:val="00234B1C"/>
    <w:rsid w:val="002427BC"/>
    <w:rsid w:val="00252084"/>
    <w:rsid w:val="00255824"/>
    <w:rsid w:val="002712C8"/>
    <w:rsid w:val="00280C14"/>
    <w:rsid w:val="002C228B"/>
    <w:rsid w:val="002D6F3B"/>
    <w:rsid w:val="002E413D"/>
    <w:rsid w:val="00320682"/>
    <w:rsid w:val="003532AB"/>
    <w:rsid w:val="00372785"/>
    <w:rsid w:val="00381DFA"/>
    <w:rsid w:val="0038779F"/>
    <w:rsid w:val="003B5BB7"/>
    <w:rsid w:val="003D0DCF"/>
    <w:rsid w:val="003E5013"/>
    <w:rsid w:val="00437B86"/>
    <w:rsid w:val="0044736E"/>
    <w:rsid w:val="0045091C"/>
    <w:rsid w:val="00462C8D"/>
    <w:rsid w:val="00464A78"/>
    <w:rsid w:val="00493381"/>
    <w:rsid w:val="004D23D9"/>
    <w:rsid w:val="0054416F"/>
    <w:rsid w:val="005518BD"/>
    <w:rsid w:val="0055341B"/>
    <w:rsid w:val="00567AC6"/>
    <w:rsid w:val="0057061C"/>
    <w:rsid w:val="005B0F1E"/>
    <w:rsid w:val="005B5E9E"/>
    <w:rsid w:val="005C57B7"/>
    <w:rsid w:val="005D7727"/>
    <w:rsid w:val="005E5358"/>
    <w:rsid w:val="006174C4"/>
    <w:rsid w:val="006309F5"/>
    <w:rsid w:val="0063443E"/>
    <w:rsid w:val="00661430"/>
    <w:rsid w:val="006864E5"/>
    <w:rsid w:val="00696225"/>
    <w:rsid w:val="006A557C"/>
    <w:rsid w:val="006C38DC"/>
    <w:rsid w:val="006D0D10"/>
    <w:rsid w:val="006E1E47"/>
    <w:rsid w:val="006E2F64"/>
    <w:rsid w:val="006E550A"/>
    <w:rsid w:val="007011C8"/>
    <w:rsid w:val="0071010A"/>
    <w:rsid w:val="00731627"/>
    <w:rsid w:val="00780E54"/>
    <w:rsid w:val="00785F14"/>
    <w:rsid w:val="007A1AD1"/>
    <w:rsid w:val="007A2C19"/>
    <w:rsid w:val="007C5777"/>
    <w:rsid w:val="007F3FAD"/>
    <w:rsid w:val="007F609A"/>
    <w:rsid w:val="00801B31"/>
    <w:rsid w:val="00813145"/>
    <w:rsid w:val="0082312E"/>
    <w:rsid w:val="00826616"/>
    <w:rsid w:val="008278F9"/>
    <w:rsid w:val="00830116"/>
    <w:rsid w:val="0083352B"/>
    <w:rsid w:val="00847F58"/>
    <w:rsid w:val="00857411"/>
    <w:rsid w:val="00862152"/>
    <w:rsid w:val="0087214D"/>
    <w:rsid w:val="00880C6C"/>
    <w:rsid w:val="008860FA"/>
    <w:rsid w:val="00892E9F"/>
    <w:rsid w:val="008A6EB0"/>
    <w:rsid w:val="008E3634"/>
    <w:rsid w:val="00907D5D"/>
    <w:rsid w:val="009219FC"/>
    <w:rsid w:val="00931861"/>
    <w:rsid w:val="00932401"/>
    <w:rsid w:val="00945341"/>
    <w:rsid w:val="00950D62"/>
    <w:rsid w:val="00954B75"/>
    <w:rsid w:val="009623A9"/>
    <w:rsid w:val="00963F03"/>
    <w:rsid w:val="0097183B"/>
    <w:rsid w:val="00996598"/>
    <w:rsid w:val="009A27CA"/>
    <w:rsid w:val="009D4FF1"/>
    <w:rsid w:val="009E1E11"/>
    <w:rsid w:val="00A005CF"/>
    <w:rsid w:val="00A01C2C"/>
    <w:rsid w:val="00A0538C"/>
    <w:rsid w:val="00A108C5"/>
    <w:rsid w:val="00A46F37"/>
    <w:rsid w:val="00A53156"/>
    <w:rsid w:val="00A579B7"/>
    <w:rsid w:val="00A6044E"/>
    <w:rsid w:val="00A827BA"/>
    <w:rsid w:val="00A97CF8"/>
    <w:rsid w:val="00A97D7C"/>
    <w:rsid w:val="00AA0FBC"/>
    <w:rsid w:val="00AA294A"/>
    <w:rsid w:val="00AC0D6D"/>
    <w:rsid w:val="00AD0B12"/>
    <w:rsid w:val="00AF0ED1"/>
    <w:rsid w:val="00AF1B14"/>
    <w:rsid w:val="00B13D57"/>
    <w:rsid w:val="00B27F5F"/>
    <w:rsid w:val="00B4760A"/>
    <w:rsid w:val="00B6229D"/>
    <w:rsid w:val="00B66A18"/>
    <w:rsid w:val="00B7256A"/>
    <w:rsid w:val="00BB5474"/>
    <w:rsid w:val="00BC19F5"/>
    <w:rsid w:val="00BD28F5"/>
    <w:rsid w:val="00BE331A"/>
    <w:rsid w:val="00BF747C"/>
    <w:rsid w:val="00C605D1"/>
    <w:rsid w:val="00C732BA"/>
    <w:rsid w:val="00C73A4B"/>
    <w:rsid w:val="00C95B9C"/>
    <w:rsid w:val="00CA3659"/>
    <w:rsid w:val="00CA4FD6"/>
    <w:rsid w:val="00CA66E6"/>
    <w:rsid w:val="00CB7A47"/>
    <w:rsid w:val="00CE61BA"/>
    <w:rsid w:val="00CF1AE5"/>
    <w:rsid w:val="00CF3864"/>
    <w:rsid w:val="00CF6AD5"/>
    <w:rsid w:val="00CF79B9"/>
    <w:rsid w:val="00D26084"/>
    <w:rsid w:val="00D40151"/>
    <w:rsid w:val="00D65CB3"/>
    <w:rsid w:val="00D810F6"/>
    <w:rsid w:val="00D83811"/>
    <w:rsid w:val="00D926DE"/>
    <w:rsid w:val="00D92866"/>
    <w:rsid w:val="00D93A0F"/>
    <w:rsid w:val="00DA185D"/>
    <w:rsid w:val="00DA1D98"/>
    <w:rsid w:val="00DB63F2"/>
    <w:rsid w:val="00DC4331"/>
    <w:rsid w:val="00DE57D0"/>
    <w:rsid w:val="00DF2928"/>
    <w:rsid w:val="00E03E23"/>
    <w:rsid w:val="00E06F4B"/>
    <w:rsid w:val="00E11940"/>
    <w:rsid w:val="00E1298A"/>
    <w:rsid w:val="00E21F93"/>
    <w:rsid w:val="00E27C61"/>
    <w:rsid w:val="00E313B1"/>
    <w:rsid w:val="00E5557B"/>
    <w:rsid w:val="00E60084"/>
    <w:rsid w:val="00E825A5"/>
    <w:rsid w:val="00EE5818"/>
    <w:rsid w:val="00EF25D3"/>
    <w:rsid w:val="00F07D87"/>
    <w:rsid w:val="00F14809"/>
    <w:rsid w:val="00F63E49"/>
    <w:rsid w:val="00F66AEC"/>
    <w:rsid w:val="00F71ECA"/>
    <w:rsid w:val="00F82785"/>
    <w:rsid w:val="00F86503"/>
    <w:rsid w:val="00F86624"/>
    <w:rsid w:val="00FA7A46"/>
    <w:rsid w:val="00FE38F3"/>
    <w:rsid w:val="00FF0ED2"/>
    <w:rsid w:val="02E52ABA"/>
    <w:rsid w:val="041B7490"/>
    <w:rsid w:val="0CB07813"/>
    <w:rsid w:val="0D2B57F6"/>
    <w:rsid w:val="0FD25D33"/>
    <w:rsid w:val="147D22B8"/>
    <w:rsid w:val="15641144"/>
    <w:rsid w:val="1DB80F68"/>
    <w:rsid w:val="1EB94D79"/>
    <w:rsid w:val="20BF2CFF"/>
    <w:rsid w:val="2402623B"/>
    <w:rsid w:val="262D5383"/>
    <w:rsid w:val="262F202E"/>
    <w:rsid w:val="26BA2E6C"/>
    <w:rsid w:val="2FF62237"/>
    <w:rsid w:val="31C52E1A"/>
    <w:rsid w:val="31F60EE9"/>
    <w:rsid w:val="34BF242A"/>
    <w:rsid w:val="3681116F"/>
    <w:rsid w:val="3C126749"/>
    <w:rsid w:val="3C941794"/>
    <w:rsid w:val="3DDC52FE"/>
    <w:rsid w:val="3E732610"/>
    <w:rsid w:val="41495876"/>
    <w:rsid w:val="41EA4D8E"/>
    <w:rsid w:val="426870FE"/>
    <w:rsid w:val="42E04E53"/>
    <w:rsid w:val="439175D8"/>
    <w:rsid w:val="481370A7"/>
    <w:rsid w:val="481F17AB"/>
    <w:rsid w:val="48A43BA3"/>
    <w:rsid w:val="4EAE42B3"/>
    <w:rsid w:val="6015680A"/>
    <w:rsid w:val="60390058"/>
    <w:rsid w:val="60CF14B6"/>
    <w:rsid w:val="61524E95"/>
    <w:rsid w:val="61810132"/>
    <w:rsid w:val="699A46EE"/>
    <w:rsid w:val="6D535020"/>
    <w:rsid w:val="6F0E1914"/>
    <w:rsid w:val="6FC67AB3"/>
    <w:rsid w:val="728A6162"/>
    <w:rsid w:val="72AB047F"/>
    <w:rsid w:val="73002881"/>
    <w:rsid w:val="73FD7E90"/>
    <w:rsid w:val="77021F22"/>
    <w:rsid w:val="77725C59"/>
    <w:rsid w:val="79F93484"/>
    <w:rsid w:val="7FDA1C8A"/>
    <w:rsid w:val="7FE442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3D83ED"/>
  <w15:docId w15:val="{2E947DB7-C85B-46BF-BD8B-9CD672B56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仿宋_GB2312" w:eastAsia="仿宋_GB2312" w:hAnsi="Calibri"/>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autoRedefine/>
    <w:qFormat/>
    <w:pPr>
      <w:ind w:leftChars="2500" w:left="100"/>
    </w:pPr>
  </w:style>
  <w:style w:type="paragraph" w:styleId="a5">
    <w:name w:val="Balloon Text"/>
    <w:basedOn w:val="a"/>
    <w:link w:val="a6"/>
    <w:autoRedefine/>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kern w:val="0"/>
      <w:sz w:val="18"/>
      <w:szCs w:val="18"/>
    </w:rPr>
  </w:style>
  <w:style w:type="paragraph" w:styleId="a9">
    <w:name w:val="header"/>
    <w:basedOn w:val="a"/>
    <w:link w:val="aa"/>
    <w:autoRedefine/>
    <w:qFormat/>
    <w:pPr>
      <w:pBdr>
        <w:bottom w:val="single" w:sz="6" w:space="1" w:color="auto"/>
      </w:pBdr>
      <w:tabs>
        <w:tab w:val="center" w:pos="4153"/>
        <w:tab w:val="right" w:pos="8306"/>
      </w:tabs>
      <w:snapToGrid w:val="0"/>
      <w:jc w:val="center"/>
    </w:pPr>
    <w:rPr>
      <w:sz w:val="18"/>
      <w:szCs w:val="18"/>
    </w:rPr>
  </w:style>
  <w:style w:type="table" w:styleId="ab">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autoRedefine/>
    <w:qFormat/>
  </w:style>
  <w:style w:type="character" w:styleId="ad">
    <w:name w:val="Hyperlink"/>
    <w:basedOn w:val="a0"/>
    <w:autoRedefine/>
    <w:unhideWhenUsed/>
    <w:qFormat/>
    <w:rPr>
      <w:color w:val="0563C1" w:themeColor="hyperlink"/>
      <w:u w:val="single"/>
    </w:rPr>
  </w:style>
  <w:style w:type="character" w:customStyle="1" w:styleId="aa">
    <w:name w:val="页眉 字符"/>
    <w:basedOn w:val="a0"/>
    <w:link w:val="a9"/>
    <w:autoRedefine/>
    <w:qFormat/>
    <w:rPr>
      <w:rFonts w:ascii="仿宋_GB2312" w:eastAsia="仿宋_GB2312" w:hAnsi="Calibri"/>
      <w:kern w:val="2"/>
      <w:sz w:val="18"/>
      <w:szCs w:val="18"/>
    </w:rPr>
  </w:style>
  <w:style w:type="character" w:customStyle="1" w:styleId="a8">
    <w:name w:val="页脚 字符"/>
    <w:basedOn w:val="a0"/>
    <w:link w:val="a7"/>
    <w:autoRedefine/>
    <w:uiPriority w:val="99"/>
    <w:qFormat/>
    <w:rPr>
      <w:rFonts w:ascii="仿宋_GB2312" w:eastAsia="仿宋_GB2312" w:hAnsi="Calibri"/>
      <w:sz w:val="18"/>
      <w:szCs w:val="18"/>
    </w:rPr>
  </w:style>
  <w:style w:type="character" w:customStyle="1" w:styleId="a6">
    <w:name w:val="批注框文本 字符"/>
    <w:basedOn w:val="a0"/>
    <w:link w:val="a5"/>
    <w:autoRedefine/>
    <w:semiHidden/>
    <w:qFormat/>
    <w:rPr>
      <w:rFonts w:ascii="仿宋_GB2312" w:eastAsia="仿宋_GB2312" w:hAnsi="Calibri"/>
      <w:kern w:val="2"/>
      <w:sz w:val="18"/>
      <w:szCs w:val="18"/>
    </w:rPr>
  </w:style>
  <w:style w:type="paragraph" w:styleId="ae">
    <w:name w:val="List Paragraph"/>
    <w:basedOn w:val="a"/>
    <w:autoRedefine/>
    <w:uiPriority w:val="99"/>
    <w:unhideWhenUsed/>
    <w:qFormat/>
    <w:pPr>
      <w:ind w:firstLineChars="200" w:firstLine="420"/>
    </w:pPr>
  </w:style>
  <w:style w:type="character" w:customStyle="1" w:styleId="a4">
    <w:name w:val="日期 字符"/>
    <w:basedOn w:val="a0"/>
    <w:link w:val="a3"/>
    <w:autoRedefine/>
    <w:qFormat/>
    <w:rPr>
      <w:rFonts w:ascii="仿宋_GB2312" w:eastAsia="仿宋_GB2312" w:hAnsi="Calibri"/>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92B69-0C0A-4736-A6E0-0356C501F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50</TotalTime>
  <Pages>1</Pages>
  <Words>240</Words>
  <Characters>1371</Characters>
  <Application>Microsoft Office Word</Application>
  <DocSecurity>0</DocSecurity>
  <Lines>11</Lines>
  <Paragraphs>3</Paragraphs>
  <ScaleCrop>false</ScaleCrop>
  <Company>CHINA</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小怪bu乖</dc:creator>
  <cp:lastModifiedBy>宗雯雯</cp:lastModifiedBy>
  <cp:revision>48</cp:revision>
  <cp:lastPrinted>2020-07-03T00:49:00Z</cp:lastPrinted>
  <dcterms:created xsi:type="dcterms:W3CDTF">2020-06-21T14:48:00Z</dcterms:created>
  <dcterms:modified xsi:type="dcterms:W3CDTF">2024-04-01T06:23:00Z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31FE6BDE9B914412BB97B48931931CBB</vt:lpwstr>
  </property>
</Properties>
</file>